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19"/>
        </w:rPr>
      </w:pPr>
    </w:p>
    <w:p>
      <w:pPr>
        <w:spacing w:before="37" w:line="283" w:lineRule="auto"/>
        <w:ind w:left="1223" w:right="1234" w:firstLine="0"/>
        <w:jc w:val="center"/>
        <w:rPr>
          <w:b/>
          <w:sz w:val="44"/>
        </w:rPr>
      </w:pPr>
      <w:r>
        <w:rPr>
          <w:b/>
          <w:w w:val="95"/>
          <w:sz w:val="44"/>
        </w:rPr>
        <w:t>福建省产品质量检验研究院马尾基地</w:t>
      </w:r>
      <w:r>
        <w:rPr>
          <w:b/>
          <w:sz w:val="44"/>
        </w:rPr>
        <w:t>屋顶设备群声屏障工程</w:t>
      </w:r>
    </w:p>
    <w:p>
      <w:pPr>
        <w:pStyle w:val="5"/>
        <w:rPr>
          <w:b/>
          <w:sz w:val="44"/>
        </w:rPr>
      </w:pPr>
    </w:p>
    <w:p>
      <w:pPr>
        <w:pStyle w:val="5"/>
        <w:spacing w:before="2"/>
        <w:rPr>
          <w:b/>
          <w:sz w:val="60"/>
        </w:rPr>
      </w:pPr>
    </w:p>
    <w:p>
      <w:pPr>
        <w:spacing w:before="0" w:line="259" w:lineRule="auto"/>
        <w:ind w:left="4272" w:right="4293" w:firstLine="0"/>
        <w:jc w:val="both"/>
        <w:rPr>
          <w:rFonts w:hint="eastAsia" w:eastAsia="宋体"/>
          <w:b/>
          <w:sz w:val="96"/>
          <w:lang w:val="en-US" w:eastAsia="zh-CN"/>
        </w:rPr>
      </w:pPr>
      <w:r>
        <w:rPr>
          <w:b/>
          <w:w w:val="95"/>
          <w:sz w:val="96"/>
        </w:rPr>
        <w:t>技术</w:t>
      </w:r>
      <w:r>
        <w:rPr>
          <w:rFonts w:hint="eastAsia"/>
          <w:b/>
          <w:w w:val="95"/>
          <w:sz w:val="96"/>
          <w:lang w:eastAsia="zh-CN"/>
        </w:rPr>
        <w:t>参数</w:t>
      </w:r>
    </w:p>
    <w:p>
      <w:pPr>
        <w:pStyle w:val="5"/>
        <w:rPr>
          <w:b/>
          <w:sz w:val="107"/>
        </w:rPr>
      </w:pPr>
    </w:p>
    <w:p>
      <w:pPr>
        <w:pStyle w:val="5"/>
        <w:rPr>
          <w:b/>
          <w:sz w:val="107"/>
        </w:rPr>
      </w:pPr>
    </w:p>
    <w:p>
      <w:pPr>
        <w:pStyle w:val="5"/>
        <w:rPr>
          <w:b/>
          <w:sz w:val="107"/>
        </w:rPr>
      </w:pPr>
    </w:p>
    <w:p>
      <w:pPr>
        <w:pStyle w:val="3"/>
        <w:numPr>
          <w:ilvl w:val="0"/>
          <w:numId w:val="0"/>
        </w:numPr>
        <w:tabs>
          <w:tab w:val="left" w:pos="635"/>
          <w:tab w:val="left" w:pos="636"/>
        </w:tabs>
        <w:spacing w:before="35" w:after="0" w:line="240" w:lineRule="auto"/>
        <w:ind w:right="0" w:rightChars="0"/>
        <w:jc w:val="left"/>
        <w:rPr>
          <w:rFonts w:hint="eastAsia"/>
          <w:lang w:val="en-US" w:eastAsia="zh-CN"/>
        </w:rPr>
      </w:pPr>
      <w:bookmarkStart w:id="0" w:name="1.概述"/>
      <w:bookmarkEnd w:id="0"/>
      <w:bookmarkStart w:id="1" w:name="1.概述"/>
      <w:bookmarkEnd w:id="1"/>
    </w:p>
    <w:p>
      <w:pPr>
        <w:pStyle w:val="3"/>
        <w:numPr>
          <w:ilvl w:val="0"/>
          <w:numId w:val="0"/>
        </w:numPr>
        <w:tabs>
          <w:tab w:val="left" w:pos="635"/>
          <w:tab w:val="left" w:pos="636"/>
        </w:tabs>
        <w:spacing w:before="35" w:after="0" w:line="240" w:lineRule="auto"/>
        <w:ind w:right="0" w:rightChars="0"/>
        <w:jc w:val="left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635"/>
          <w:tab w:val="left" w:pos="636"/>
        </w:tabs>
        <w:spacing w:before="35" w:after="0" w:line="240" w:lineRule="auto"/>
        <w:ind w:right="0" w:rightChars="0" w:firstLine="3935" w:firstLineChars="1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pStyle w:val="3"/>
        <w:numPr>
          <w:ilvl w:val="0"/>
          <w:numId w:val="0"/>
        </w:numPr>
        <w:tabs>
          <w:tab w:val="left" w:pos="635"/>
          <w:tab w:val="left" w:pos="636"/>
        </w:tabs>
        <w:spacing w:before="35" w:after="0" w:line="240" w:lineRule="auto"/>
        <w:ind w:left="215" w:leftChars="0" w:right="0" w:rightChars="0"/>
        <w:jc w:val="left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tabs>
          <w:tab w:val="left" w:pos="635"/>
          <w:tab w:val="left" w:pos="636"/>
        </w:tabs>
        <w:spacing w:before="35" w:after="0" w:line="240" w:lineRule="auto"/>
        <w:ind w:left="215" w:leftChars="0" w:right="0" w:rightChars="0"/>
        <w:jc w:val="left"/>
      </w:pPr>
      <w:r>
        <w:rPr>
          <w:rFonts w:hint="eastAsia"/>
          <w:lang w:eastAsia="zh-CN"/>
        </w:rPr>
        <w:t>一、项目</w:t>
      </w:r>
      <w:r>
        <w:t>概述</w:t>
      </w:r>
    </w:p>
    <w:p>
      <w:pPr>
        <w:pStyle w:val="5"/>
        <w:spacing w:before="255" w:line="393" w:lineRule="auto"/>
        <w:ind w:left="215" w:right="189" w:firstLine="480"/>
        <w:jc w:val="both"/>
      </w:pPr>
      <w:r>
        <w:rPr>
          <w:rFonts w:hint="eastAsia"/>
          <w:lang w:eastAsia="zh-CN"/>
        </w:rPr>
        <w:t>我院</w:t>
      </w:r>
      <w:r>
        <w:t>福建省产品质量检验研究院马尾基地办公楼屋顶设备群包括风机、空调主机等设备密集布置，北侧名城珑域小区受屋面设备群噪声影响投诉至环保局。为解决噪声问题， 结合现场实际情况及设备噪声传播特点。本</w:t>
      </w:r>
      <w:r>
        <w:rPr>
          <w:rFonts w:hint="eastAsia"/>
          <w:lang w:eastAsia="zh-CN"/>
        </w:rPr>
        <w:t>项目</w:t>
      </w:r>
      <w:r>
        <w:t>采用北侧加装声屏障结合风机管道改造的方式进行降噪治理。</w:t>
      </w:r>
    </w:p>
    <w:p>
      <w:pPr>
        <w:pStyle w:val="3"/>
        <w:numPr>
          <w:ilvl w:val="0"/>
          <w:numId w:val="1"/>
        </w:numPr>
        <w:tabs>
          <w:tab w:val="left" w:pos="635"/>
          <w:tab w:val="left" w:pos="636"/>
        </w:tabs>
        <w:spacing w:before="58" w:after="0" w:line="240" w:lineRule="auto"/>
        <w:ind w:left="636" w:right="0" w:hanging="421"/>
        <w:jc w:val="left"/>
      </w:pPr>
      <w:bookmarkStart w:id="2" w:name="2.设计依据"/>
      <w:bookmarkEnd w:id="2"/>
      <w:bookmarkStart w:id="3" w:name="2.设计依据"/>
      <w:bookmarkEnd w:id="3"/>
      <w:r>
        <w:rPr>
          <w:rFonts w:hint="eastAsia"/>
          <w:lang w:eastAsia="zh-CN"/>
        </w:rPr>
        <w:t>项目需符合的</w:t>
      </w:r>
      <w:r>
        <w:t>相关标准规范</w:t>
      </w:r>
      <w:r>
        <w:rPr>
          <w:rFonts w:hint="eastAsia"/>
          <w:lang w:eastAsia="zh-CN"/>
        </w:rPr>
        <w:t>如下：</w:t>
      </w:r>
      <w:bookmarkStart w:id="4" w:name="2.1.相关标准规范"/>
      <w:bookmarkEnd w:id="4"/>
      <w:bookmarkStart w:id="5" w:name="2.1.相关标准规范"/>
      <w:bookmarkEnd w:id="5"/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sz w:val="24"/>
        </w:rPr>
      </w:pPr>
      <w:r>
        <w:rPr>
          <w:sz w:val="24"/>
        </w:rPr>
        <w:t>《环境影响评价技术导则—声环境》（</w:t>
      </w:r>
      <w:r>
        <w:rPr>
          <w:rFonts w:ascii="Calibri" w:hAnsi="Calibri" w:eastAsia="Calibri"/>
          <w:sz w:val="24"/>
        </w:rPr>
        <w:t>HJ/T2.4-2009</w:t>
      </w:r>
      <w:r>
        <w:rPr>
          <w:sz w:val="24"/>
        </w:rPr>
        <w:t>）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《工业企业厂界噪声排放标准》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12348-2008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《工业企业噪声设计规范》</w:t>
      </w:r>
      <w:r>
        <w:rPr>
          <w:rFonts w:ascii="Calibri" w:eastAsia="Calibri"/>
          <w:sz w:val="24"/>
        </w:rPr>
        <w:t>GB/T50087-2013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《声环境质量标准》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3096-2008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《工业企业设计卫生标准》</w:t>
      </w:r>
      <w:r>
        <w:rPr>
          <w:rFonts w:ascii="Calibri" w:eastAsia="Calibri"/>
          <w:sz w:val="24"/>
        </w:rPr>
        <w:t>GBZ</w:t>
      </w:r>
      <w:r>
        <w:rPr>
          <w:rFonts w:ascii="Calibri" w:eastAsia="Calibri"/>
          <w:spacing w:val="-3"/>
          <w:sz w:val="24"/>
        </w:rPr>
        <w:t xml:space="preserve"> </w:t>
      </w:r>
      <w:r>
        <w:rPr>
          <w:rFonts w:ascii="Calibri" w:eastAsia="Calibri"/>
          <w:sz w:val="24"/>
        </w:rPr>
        <w:t>1-2010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pacing w:val="-5"/>
          <w:sz w:val="24"/>
        </w:rPr>
        <w:t xml:space="preserve">《工作场所有害因素职业接触限值 第 </w:t>
      </w:r>
      <w:r>
        <w:rPr>
          <w:rFonts w:ascii="Calibri" w:eastAsia="Calibri"/>
          <w:sz w:val="24"/>
        </w:rPr>
        <w:t>2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sz w:val="24"/>
        </w:rPr>
        <w:t>部分：物理因素》</w:t>
      </w:r>
      <w:r>
        <w:rPr>
          <w:rFonts w:ascii="Calibri" w:eastAsia="Calibri"/>
          <w:sz w:val="24"/>
        </w:rPr>
        <w:t>GBZ2.2-2007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《社会生活环境噪声排放标准》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22337-2008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pacing w:val="-1"/>
          <w:sz w:val="24"/>
        </w:rPr>
        <w:t xml:space="preserve">《风机和罗茨风机噪声测量方法》 </w:t>
      </w:r>
      <w:r>
        <w:rPr>
          <w:rFonts w:ascii="Calibri" w:eastAsia="Calibri"/>
          <w:sz w:val="24"/>
        </w:rPr>
        <w:t>GB/T2888-2008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《声屏障声学设计和测量规范》</w:t>
      </w:r>
      <w:r>
        <w:rPr>
          <w:rFonts w:ascii="Calibri" w:eastAsia="Calibri"/>
          <w:sz w:val="24"/>
        </w:rPr>
        <w:t>HJ/T90-2004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《建筑设计防火规范》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50016-2006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《建筑装饰装修工程质量验收规范》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50210-2001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sz w:val="24"/>
        </w:rPr>
      </w:pPr>
      <w:r>
        <w:rPr>
          <w:sz w:val="24"/>
        </w:rPr>
        <w:t>《工业建筑供暖通风与空气调节设计规范》（</w:t>
      </w:r>
      <w:r>
        <w:rPr>
          <w:rFonts w:ascii="Calibri" w:eastAsia="Calibri"/>
          <w:sz w:val="24"/>
        </w:rPr>
        <w:t>GB50019-2015</w:t>
      </w:r>
      <w:r>
        <w:rPr>
          <w:sz w:val="24"/>
        </w:rPr>
        <w:t>）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《建筑电气工程施工质量验收规范》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50303-2002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《建筑工程施工质量评价标准》</w:t>
      </w:r>
      <w:r>
        <w:rPr>
          <w:rFonts w:ascii="Calibri" w:eastAsia="Calibri"/>
          <w:sz w:val="24"/>
        </w:rPr>
        <w:t>GB/T</w:t>
      </w:r>
      <w:r>
        <w:rPr>
          <w:rFonts w:ascii="Calibri" w:eastAsia="Calibri"/>
          <w:spacing w:val="-2"/>
          <w:sz w:val="24"/>
        </w:rPr>
        <w:t xml:space="preserve"> </w:t>
      </w:r>
      <w:r>
        <w:rPr>
          <w:rFonts w:ascii="Calibri" w:eastAsia="Calibri"/>
          <w:sz w:val="24"/>
        </w:rPr>
        <w:t>50375-2006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《建筑节能工程施工质量验收规范》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50411-2007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6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《钢结构设计规范》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50017-2003</w:t>
      </w:r>
    </w:p>
    <w:p>
      <w:pPr>
        <w:pStyle w:val="9"/>
        <w:numPr>
          <w:ilvl w:val="0"/>
          <w:numId w:val="2"/>
        </w:numPr>
        <w:tabs>
          <w:tab w:val="left" w:pos="636"/>
        </w:tabs>
        <w:spacing w:before="197" w:after="0" w:line="240" w:lineRule="auto"/>
        <w:ind w:left="636" w:right="0" w:hanging="421"/>
        <w:jc w:val="left"/>
        <w:rPr>
          <w:rFonts w:ascii="Calibri" w:eastAsia="Calibri"/>
          <w:sz w:val="24"/>
        </w:rPr>
      </w:pPr>
      <w:r>
        <w:rPr>
          <w:sz w:val="24"/>
        </w:rPr>
        <w:t>《钢结构工程施工质量验收规范》</w:t>
      </w:r>
      <w:r>
        <w:rPr>
          <w:rFonts w:ascii="Calibri" w:eastAsia="Calibri"/>
          <w:sz w:val="24"/>
        </w:rPr>
        <w:t>GB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rFonts w:ascii="Calibri" w:eastAsia="Calibri"/>
          <w:sz w:val="24"/>
        </w:rPr>
        <w:t>50205-2001</w:t>
      </w:r>
    </w:p>
    <w:p>
      <w:pPr>
        <w:pStyle w:val="4"/>
        <w:numPr>
          <w:ilvl w:val="0"/>
          <w:numId w:val="0"/>
        </w:numPr>
        <w:tabs>
          <w:tab w:val="left" w:pos="1056"/>
        </w:tabs>
        <w:spacing w:before="196" w:after="0" w:line="240" w:lineRule="auto"/>
        <w:ind w:right="0" w:rightChars="0"/>
        <w:jc w:val="left"/>
        <w:rPr>
          <w:rFonts w:hint="eastAsia" w:eastAsia="宋体"/>
          <w:lang w:eastAsia="zh-CN"/>
        </w:rPr>
      </w:pPr>
      <w:bookmarkStart w:id="6" w:name="2.2.设计效果目标"/>
      <w:bookmarkEnd w:id="6"/>
      <w:bookmarkStart w:id="7" w:name="2.2.设计效果目标"/>
      <w:bookmarkEnd w:id="7"/>
      <w:r>
        <w:rPr>
          <w:rFonts w:hint="eastAsia"/>
          <w:lang w:val="en-US" w:eastAsia="zh-CN"/>
        </w:rPr>
        <w:t>2.项目需达到的</w:t>
      </w:r>
      <w:r>
        <w:t>目标</w:t>
      </w:r>
      <w:r>
        <w:rPr>
          <w:rFonts w:hint="eastAsia"/>
          <w:lang w:eastAsia="zh-CN"/>
        </w:rPr>
        <w:t>效果</w:t>
      </w:r>
    </w:p>
    <w:p>
      <w:pPr>
        <w:pStyle w:val="5"/>
        <w:spacing w:before="197" w:line="393" w:lineRule="auto"/>
        <w:ind w:left="215" w:right="117" w:firstLine="480"/>
        <w:jc w:val="both"/>
      </w:pPr>
      <w:r>
        <w:rPr>
          <w:rFonts w:hint="eastAsia"/>
          <w:spacing w:val="3"/>
          <w:lang w:eastAsia="zh-CN"/>
        </w:rPr>
        <w:t>项目施工完成后</w:t>
      </w:r>
      <w:r>
        <w:rPr>
          <w:spacing w:val="3"/>
        </w:rPr>
        <w:t>降噪目标</w:t>
      </w:r>
      <w:r>
        <w:rPr>
          <w:rFonts w:hint="eastAsia"/>
          <w:spacing w:val="3"/>
          <w:lang w:eastAsia="zh-CN"/>
        </w:rPr>
        <w:t>需达到</w:t>
      </w:r>
      <w:r>
        <w:rPr>
          <w:spacing w:val="3"/>
        </w:rPr>
        <w:t>屋顶设备群噪声对名城珑域小区噪声排放影响满足二类区标</w:t>
      </w:r>
      <w:r>
        <w:rPr>
          <w:spacing w:val="-20"/>
        </w:rPr>
        <w:t xml:space="preserve">准。即排除社会背景噪声影响下，住宅区室外 </w:t>
      </w:r>
      <w:r>
        <w:rPr>
          <w:rFonts w:ascii="Calibri" w:eastAsia="Calibri"/>
        </w:rPr>
        <w:t xml:space="preserve">1m </w:t>
      </w:r>
      <w:r>
        <w:rPr>
          <w:spacing w:val="-11"/>
        </w:rPr>
        <w:t xml:space="preserve">处昼间低于 </w:t>
      </w:r>
      <w:r>
        <w:rPr>
          <w:rFonts w:ascii="Calibri" w:eastAsia="Calibri"/>
        </w:rPr>
        <w:t>60</w:t>
      </w:r>
      <w:r>
        <w:rPr>
          <w:rFonts w:ascii="Calibri" w:eastAsia="Calibri"/>
          <w:spacing w:val="-2"/>
        </w:rPr>
        <w:t>d</w:t>
      </w:r>
      <w:r>
        <w:rPr>
          <w:rFonts w:ascii="Calibri" w:eastAsia="Calibri"/>
          <w:spacing w:val="-1"/>
        </w:rPr>
        <w:t>B(</w:t>
      </w:r>
      <w:r>
        <w:rPr>
          <w:rFonts w:ascii="Calibri" w:eastAsia="Calibri"/>
        </w:rPr>
        <w:t>A</w:t>
      </w:r>
      <w:r>
        <w:rPr>
          <w:rFonts w:ascii="Calibri" w:eastAsia="Calibri"/>
          <w:spacing w:val="4"/>
        </w:rPr>
        <w:t>)</w:t>
      </w:r>
      <w:r>
        <w:rPr>
          <w:spacing w:val="-31"/>
        </w:rPr>
        <w:t xml:space="preserve">，夜间低于 </w:t>
      </w:r>
      <w:r>
        <w:rPr>
          <w:rFonts w:ascii="Calibri" w:eastAsia="Calibri"/>
        </w:rPr>
        <w:t>50</w:t>
      </w:r>
      <w:r>
        <w:rPr>
          <w:rFonts w:ascii="Calibri" w:eastAsia="Calibri"/>
          <w:spacing w:val="-2"/>
        </w:rPr>
        <w:t>d</w:t>
      </w:r>
      <w:r>
        <w:rPr>
          <w:rFonts w:ascii="Calibri" w:eastAsia="Calibri"/>
          <w:spacing w:val="-1"/>
        </w:rPr>
        <w:t>B(</w:t>
      </w:r>
      <w:r>
        <w:rPr>
          <w:rFonts w:ascii="Calibri" w:eastAsia="Calibri"/>
        </w:rPr>
        <w:t>A</w:t>
      </w:r>
      <w:r>
        <w:rPr>
          <w:rFonts w:ascii="Calibri" w:eastAsia="Calibri"/>
          <w:spacing w:val="1"/>
        </w:rPr>
        <w:t>)</w:t>
      </w:r>
      <w:r>
        <w:t>。</w:t>
      </w:r>
    </w:p>
    <w:p>
      <w:pPr>
        <w:spacing w:after="0" w:line="393" w:lineRule="auto"/>
        <w:jc w:val="both"/>
        <w:sectPr>
          <w:pgSz w:w="11910" w:h="16840"/>
          <w:pgMar w:top="1520" w:right="1180" w:bottom="280" w:left="1200" w:header="720" w:footer="720" w:gutter="0"/>
          <w:cols w:space="720" w:num="1"/>
        </w:sectPr>
      </w:pPr>
    </w:p>
    <w:p>
      <w:pPr>
        <w:pStyle w:val="3"/>
        <w:numPr>
          <w:ilvl w:val="0"/>
          <w:numId w:val="0"/>
        </w:numPr>
        <w:tabs>
          <w:tab w:val="left" w:pos="635"/>
          <w:tab w:val="left" w:pos="636"/>
        </w:tabs>
        <w:spacing w:before="57" w:after="0" w:line="240" w:lineRule="auto"/>
        <w:ind w:left="215" w:leftChars="0" w:right="0" w:rightChars="0"/>
        <w:jc w:val="left"/>
        <w:rPr>
          <w:rFonts w:hint="eastAsia" w:eastAsia="宋体"/>
          <w:lang w:eastAsia="zh-CN"/>
        </w:rPr>
      </w:pPr>
      <w:bookmarkStart w:id="8" w:name="3.拟采用方案对比"/>
      <w:bookmarkEnd w:id="8"/>
      <w:bookmarkStart w:id="9" w:name="4.降噪措施方案"/>
      <w:bookmarkEnd w:id="9"/>
      <w:bookmarkStart w:id="10" w:name="4.降噪措施方案"/>
      <w:bookmarkEnd w:id="10"/>
      <w:bookmarkStart w:id="11" w:name="3.拟采用方案对比"/>
      <w:bookmarkEnd w:id="11"/>
      <w:r>
        <w:rPr>
          <w:rFonts w:hint="eastAsia"/>
          <w:lang w:val="en-US" w:eastAsia="zh-CN"/>
        </w:rPr>
        <w:t>3.本项目</w:t>
      </w:r>
      <w:r>
        <w:t>降噪措施</w:t>
      </w:r>
      <w:r>
        <w:rPr>
          <w:rFonts w:hint="eastAsia"/>
          <w:lang w:eastAsia="zh-CN"/>
        </w:rPr>
        <w:t>主要技术参数</w:t>
      </w:r>
    </w:p>
    <w:p>
      <w:pPr>
        <w:pStyle w:val="4"/>
        <w:numPr>
          <w:ilvl w:val="0"/>
          <w:numId w:val="0"/>
        </w:numPr>
        <w:tabs>
          <w:tab w:val="left" w:pos="1056"/>
        </w:tabs>
        <w:spacing w:before="255" w:after="0" w:line="240" w:lineRule="auto"/>
        <w:ind w:right="0" w:rightChars="0" w:firstLine="241" w:firstLineChars="100"/>
        <w:jc w:val="left"/>
      </w:pPr>
      <w:bookmarkStart w:id="12" w:name="4.1.屋面声屏障"/>
      <w:bookmarkEnd w:id="12"/>
      <w:bookmarkStart w:id="13" w:name="4.1.屋面声屏障"/>
      <w:bookmarkEnd w:id="13"/>
      <w:r>
        <w:rPr>
          <w:rFonts w:hint="eastAsia"/>
          <w:lang w:val="en-US" w:eastAsia="zh-CN"/>
        </w:rPr>
        <w:t>3.1项目整体方案</w:t>
      </w:r>
    </w:p>
    <w:p>
      <w:pPr>
        <w:pStyle w:val="5"/>
        <w:spacing w:before="197" w:line="393" w:lineRule="auto"/>
        <w:ind w:left="215" w:right="108" w:firstLine="480"/>
        <w:jc w:val="both"/>
        <w:rPr>
          <w:spacing w:val="-3"/>
        </w:rPr>
      </w:pPr>
      <w:r>
        <w:rPr>
          <w:spacing w:val="-3"/>
        </w:rPr>
        <w:t>在屋顶造型梁北侧支设声屏障，中段已有土建结构围挡设备，在东西连段加装声屏障。由于屋面管道分布较多，声屏障 1.5m 以下为空，1.5m~4m 高度为全吸声式声屏障。声屏障立柱顶端与造型梁刚性连接，立柱底板采用膨胀螺丝固定（深度不超过保护层， 不触及防渗层），并浇筑 500*500*300mm 柱墩后做防水处理。整体结构可保证抵抗</w:t>
      </w:r>
      <w:r>
        <w:rPr>
          <w:rFonts w:hint="eastAsia"/>
          <w:spacing w:val="-3"/>
          <w:lang w:val="en-US" w:eastAsia="zh-CN"/>
        </w:rPr>
        <w:t>8-10</w:t>
      </w:r>
      <w:r>
        <w:rPr>
          <w:spacing w:val="-3"/>
        </w:rPr>
        <w:t>级台风风荷载。实施范围见附图，立面结构示意图见下页图1。</w:t>
      </w:r>
    </w:p>
    <w:p>
      <w:pPr>
        <w:pStyle w:val="5"/>
        <w:spacing w:before="197" w:line="393" w:lineRule="auto"/>
        <w:ind w:left="215" w:right="108" w:firstLine="480"/>
        <w:jc w:val="both"/>
        <w:rPr>
          <w:spacing w:val="-3"/>
        </w:rPr>
      </w:pPr>
      <w:r>
        <w:rPr>
          <w:rFonts w:hint="eastAsia"/>
          <w:spacing w:val="-3"/>
          <w:lang w:val="en-US" w:eastAsia="zh-CN"/>
        </w:rPr>
        <w:t>3.1.1</w:t>
      </w:r>
      <w:r>
        <w:rPr>
          <w:spacing w:val="-3"/>
        </w:rPr>
        <w:t>全吸声式声屏障屏体采用镀锌钢板内填吸声材料加工而成，面向声源测为防雨百叶孔，整体结构加工完成后一体喷塑处理。满足声学要求的情况下，能保证足够的耐</w:t>
      </w:r>
      <w:r>
        <w:rPr>
          <w:rFonts w:hint="eastAsia"/>
          <w:spacing w:val="-3"/>
          <w:lang w:eastAsia="zh-CN"/>
        </w:rPr>
        <w:t>辐照</w:t>
      </w:r>
      <w:r>
        <w:rPr>
          <w:spacing w:val="-3"/>
        </w:rPr>
        <w:t>耐腐蚀性能。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 w:eastAsia="宋体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3.1.2</w:t>
      </w:r>
      <w:r>
        <w:rPr>
          <w:spacing w:val="-3"/>
        </w:rPr>
        <w:t>全吸声式声屏障屏</w:t>
      </w:r>
      <w:r>
        <w:rPr>
          <w:rFonts w:hint="eastAsia"/>
          <w:spacing w:val="-3"/>
          <w:lang w:eastAsia="zh-CN"/>
        </w:rPr>
        <w:t>需满足主要技术参数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3.1.2.1</w:t>
      </w:r>
      <w:r>
        <w:rPr>
          <w:rFonts w:hint="eastAsia"/>
          <w:spacing w:val="-3"/>
          <w:lang w:eastAsia="zh-CN"/>
        </w:rPr>
        <w:t>隔声量：面板的吸音面积达</w:t>
      </w:r>
      <w:r>
        <w:rPr>
          <w:rFonts w:hint="eastAsia"/>
          <w:spacing w:val="-3"/>
          <w:lang w:val="en-US" w:eastAsia="zh-CN"/>
        </w:rPr>
        <w:t>70%，平均隔声量大于或等于37</w:t>
      </w:r>
      <w:r>
        <w:rPr>
          <w:spacing w:val="-3"/>
          <w:lang w:val="en-US" w:eastAsia="en-US"/>
        </w:rPr>
        <w:t>dB</w:t>
      </w:r>
      <w:r>
        <w:rPr>
          <w:rFonts w:hint="eastAsia"/>
          <w:spacing w:val="-3"/>
          <w:lang w:val="en-US" w:eastAsia="zh-CN"/>
        </w:rPr>
        <w:t>。（条件吸音棉48K，厚96x高500x长4000）。（</w:t>
      </w:r>
      <w:r>
        <w:rPr>
          <w:rFonts w:hint="eastAsia"/>
          <w:color w:val="000000" w:themeColor="text1"/>
          <w:spacing w:val="-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投标时需提供省级以上检验报告佐证</w:t>
      </w:r>
      <w:r>
        <w:rPr>
          <w:rFonts w:hint="eastAsia"/>
          <w:spacing w:val="-3"/>
          <w:lang w:val="en-US" w:eastAsia="zh-CN"/>
        </w:rPr>
        <w:t>）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default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3.1.2.1.1</w:t>
      </w:r>
      <w:r>
        <w:rPr>
          <w:rFonts w:hint="eastAsia"/>
          <w:spacing w:val="-3"/>
          <w:lang w:eastAsia="zh-CN"/>
        </w:rPr>
        <w:t>隔声量</w:t>
      </w:r>
      <w:r>
        <w:rPr>
          <w:rFonts w:hint="eastAsia"/>
          <w:spacing w:val="-3"/>
          <w:lang w:val="en-US" w:eastAsia="zh-CN"/>
        </w:rPr>
        <w:t>:中心频率在250HZ时</w:t>
      </w:r>
      <w:r>
        <w:rPr>
          <w:rFonts w:hint="eastAsia"/>
          <w:spacing w:val="-3"/>
          <w:lang w:eastAsia="zh-CN"/>
        </w:rPr>
        <w:t>隔声量</w:t>
      </w:r>
      <w:r>
        <w:rPr>
          <w:rFonts w:hint="eastAsia"/>
          <w:spacing w:val="-3"/>
          <w:lang w:val="en-US" w:eastAsia="zh-CN"/>
        </w:rPr>
        <w:t>≥28.2；中心频率在500HZ时</w:t>
      </w:r>
      <w:r>
        <w:rPr>
          <w:rFonts w:hint="eastAsia"/>
          <w:spacing w:val="-3"/>
          <w:lang w:eastAsia="zh-CN"/>
        </w:rPr>
        <w:t>隔声量</w:t>
      </w:r>
      <w:r>
        <w:rPr>
          <w:rFonts w:hint="eastAsia"/>
          <w:spacing w:val="-3"/>
          <w:lang w:val="en-US" w:eastAsia="zh-CN"/>
        </w:rPr>
        <w:t>≥32.8；中心频率在1000HZ时</w:t>
      </w:r>
      <w:r>
        <w:rPr>
          <w:rFonts w:hint="eastAsia"/>
          <w:spacing w:val="-3"/>
          <w:lang w:eastAsia="zh-CN"/>
        </w:rPr>
        <w:t>隔声量</w:t>
      </w:r>
      <w:r>
        <w:rPr>
          <w:rFonts w:hint="eastAsia"/>
          <w:spacing w:val="-3"/>
          <w:lang w:val="en-US" w:eastAsia="zh-CN"/>
        </w:rPr>
        <w:t>≥41.8；中心频率在2000HZ时</w:t>
      </w:r>
      <w:r>
        <w:rPr>
          <w:rFonts w:hint="eastAsia"/>
          <w:spacing w:val="-3"/>
          <w:lang w:eastAsia="zh-CN"/>
        </w:rPr>
        <w:t>隔声量</w:t>
      </w:r>
      <w:r>
        <w:rPr>
          <w:rFonts w:hint="eastAsia"/>
          <w:spacing w:val="-3"/>
          <w:lang w:val="en-US" w:eastAsia="zh-CN"/>
        </w:rPr>
        <w:t>≥42.2；（</w:t>
      </w:r>
      <w:r>
        <w:rPr>
          <w:rFonts w:hint="eastAsia"/>
          <w:color w:val="000000" w:themeColor="text1"/>
          <w:spacing w:val="-3"/>
          <w:lang w:val="en-US" w:eastAsia="zh-CN"/>
          <w14:textFill>
            <w14:solidFill>
              <w14:schemeClr w14:val="tx1"/>
            </w14:solidFill>
          </w14:textFill>
        </w:rPr>
        <w:t>投标时需提供省级以上检验报告佐证</w:t>
      </w:r>
      <w:r>
        <w:rPr>
          <w:rFonts w:hint="eastAsia"/>
          <w:spacing w:val="-3"/>
          <w:lang w:val="en-US" w:eastAsia="zh-CN"/>
        </w:rPr>
        <w:t>）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3.1.2.2吸声系数：平均吸声系数大于或等于0.77。（条件吸音棉48K，厚96x高500x长4000）铝耐候耐久性：产品具有耐水性、耐热性、抗紫外线、不会因雨水温度变化引起降低性能或品质异常。产品采用铝合金卷板、镀锌卷板、玻璃棉。（</w:t>
      </w:r>
      <w:r>
        <w:rPr>
          <w:rFonts w:hint="eastAsia"/>
          <w:color w:val="000000" w:themeColor="text1"/>
          <w:spacing w:val="-3"/>
          <w:lang w:val="en-US" w:eastAsia="zh-CN"/>
          <w14:textFill>
            <w14:solidFill>
              <w14:schemeClr w14:val="tx1"/>
            </w14:solidFill>
          </w14:textFill>
        </w:rPr>
        <w:t>投标时需提供省级以上检验报告佐证</w:t>
      </w:r>
      <w:r>
        <w:rPr>
          <w:rFonts w:hint="eastAsia"/>
          <w:spacing w:val="-3"/>
          <w:lang w:val="en-US" w:eastAsia="zh-CN"/>
        </w:rPr>
        <w:t>）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default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3.1.2.2.1吸声系数:频率在250HZ时吸声系数≥0.6；频率在500HZ时吸声系数≥0.78；频率在1000HZ时吸声系数≥0.85；频率在2000HZ时吸声系数≥0.82；（投标时需提供省级以上检验报告佐证）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3.1.2.3外观：可选用多种色彩和造型进行组合，与周围环境协调，形成亮丽风景线。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3.1.2.4采用装配式施工，提高工作效率，缩短施工时间，可节省施工费及人工费。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3.1.2.5吸音板产品具有自重轻特点，每平米质量轻于25公斤，可减轻高架轻轨、高架路的承重负荷。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3.1.2.6防火：采用超细玻璃棉，由于其熔点高，不可燃，完全满足环保和防火规范的要求，防火等级达A级。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3.1.2.7高强度：结合各地区不同的气候条件，在结构设计时充分考虑风荷载。采用1.0mm镀锌板，通过自动生产线，压制凹槽以增加强度，使产品抗8-10级台风，抗压大于或等于300kg/㎡。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▲</w:t>
      </w:r>
      <w:r>
        <w:rPr>
          <w:rFonts w:hint="eastAsia"/>
          <w:spacing w:val="-3"/>
          <w:lang w:val="en-US" w:eastAsia="zh-CN"/>
        </w:rPr>
        <w:t>3.1.2.8防水、防尘：百叶型设计时充分考虑防水、防尘，其角度设为45°。在扬尘或淋雨环境中其吸声性不受影响，构造中以设置排尘排水措施，避免构件内部积水。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3.1.2.9耐用：产品设计已充分地考虑了风载、全气候的露天防腐。</w:t>
      </w:r>
    </w:p>
    <w:p>
      <w:pPr>
        <w:pStyle w:val="5"/>
        <w:spacing w:before="197" w:line="393" w:lineRule="auto"/>
        <w:ind w:left="215" w:right="108" w:firstLine="480"/>
        <w:jc w:val="both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3.1.2.10产品采用铝合金卷板、镀锌卷板、玻璃棉，产品在15年内不腐蚀、不变形、吸声、隔声效果不降低。</w:t>
      </w:r>
    </w:p>
    <w:p>
      <w:pPr>
        <w:pStyle w:val="4"/>
        <w:numPr>
          <w:ilvl w:val="0"/>
          <w:numId w:val="0"/>
        </w:numPr>
        <w:tabs>
          <w:tab w:val="left" w:pos="1056"/>
        </w:tabs>
        <w:spacing w:before="0" w:after="0" w:line="307" w:lineRule="exact"/>
        <w:ind w:right="0" w:rightChars="0"/>
        <w:jc w:val="both"/>
      </w:pPr>
      <w:r>
        <w:rPr>
          <w:rFonts w:hint="eastAsia"/>
          <w:lang w:val="en-US" w:eastAsia="zh-CN"/>
        </w:rPr>
        <w:t>3.2</w:t>
      </w:r>
      <w:r>
        <w:t>部分风管改造</w:t>
      </w:r>
    </w:p>
    <w:p>
      <w:pPr>
        <w:pStyle w:val="5"/>
        <w:spacing w:before="197" w:line="393" w:lineRule="auto"/>
        <w:ind w:left="215" w:right="233" w:firstLine="480"/>
        <w:jc w:val="both"/>
      </w:pPr>
      <w:r>
        <w:rPr>
          <w:spacing w:val="-4"/>
        </w:rPr>
        <w:t>屋面北面风机设备主要噪声还有风管放空口的噪声，该噪声主要由管道内腔体传播</w:t>
      </w:r>
      <w:r>
        <w:rPr>
          <w:spacing w:val="-1"/>
        </w:rPr>
        <w:t xml:space="preserve">的机械噪声和气流噪声组成。与放空口的指向性有关。将涉及噪声影响的 </w:t>
      </w:r>
      <w:r>
        <w:rPr>
          <w:rFonts w:ascii="Calibri" w:eastAsia="Calibri"/>
        </w:rPr>
        <w:t xml:space="preserve">15 </w:t>
      </w:r>
      <w:r>
        <w:t>个北</w:t>
      </w:r>
      <w:r>
        <w:rPr>
          <w:spacing w:val="-4"/>
        </w:rPr>
        <w:t>侧风管放空口向上延伸后改向南侧放空，使噪声指向背离居民区一侧。方案示意图见下</w:t>
      </w:r>
      <w:r>
        <w:rPr>
          <w:spacing w:val="-30"/>
        </w:rPr>
        <w:t xml:space="preserve">图 </w:t>
      </w:r>
      <w:r>
        <w:rPr>
          <w:rFonts w:ascii="Calibri" w:eastAsia="Calibri"/>
        </w:rPr>
        <w:t>1</w:t>
      </w:r>
      <w:r>
        <w:t>。</w:t>
      </w:r>
      <w:r>
        <w:rPr>
          <w:spacing w:val="-5"/>
        </w:rPr>
        <w:t xml:space="preserve">风管与原有风管一致，采用 </w:t>
      </w:r>
      <w:r>
        <w:rPr>
          <w:rFonts w:ascii="Calibri" w:eastAsia="Calibri"/>
        </w:rPr>
        <w:t>PP</w:t>
      </w:r>
      <w:r>
        <w:rPr>
          <w:rFonts w:ascii="Calibri" w:eastAsia="Calibri"/>
          <w:spacing w:val="4"/>
        </w:rPr>
        <w:t xml:space="preserve"> </w:t>
      </w:r>
      <w:r>
        <w:t>板材现场加工制作。</w:t>
      </w:r>
    </w:p>
    <w:p>
      <w:pPr>
        <w:pStyle w:val="5"/>
        <w:numPr>
          <w:ilvl w:val="0"/>
          <w:numId w:val="3"/>
        </w:numPr>
        <w:spacing w:before="197" w:line="393" w:lineRule="auto"/>
        <w:ind w:right="233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主要配置清单表</w:t>
      </w:r>
    </w:p>
    <w:tbl>
      <w:tblPr>
        <w:tblStyle w:val="6"/>
        <w:tblpPr w:leftFromText="180" w:rightFromText="180" w:vertAnchor="text" w:horzAnchor="page" w:tblpX="1189" w:tblpY="89"/>
        <w:tblOverlap w:val="never"/>
        <w:tblW w:w="95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667"/>
        <w:gridCol w:w="3004"/>
        <w:gridCol w:w="1826"/>
        <w:gridCol w:w="1005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83" w:type="dxa"/>
          </w:tcPr>
          <w:p>
            <w:pPr>
              <w:pStyle w:val="10"/>
              <w:ind w:left="151" w:right="145"/>
              <w:jc w:val="left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67" w:type="dxa"/>
          </w:tcPr>
          <w:p>
            <w:pPr>
              <w:pStyle w:val="10"/>
              <w:ind w:left="267" w:right="260"/>
              <w:jc w:val="left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3004" w:type="dxa"/>
          </w:tcPr>
          <w:p>
            <w:pPr>
              <w:pStyle w:val="10"/>
              <w:ind w:left="174" w:right="167"/>
              <w:jc w:val="left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1826" w:type="dxa"/>
          </w:tcPr>
          <w:p>
            <w:pPr>
              <w:pStyle w:val="10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005" w:type="dxa"/>
          </w:tcPr>
          <w:p>
            <w:pPr>
              <w:pStyle w:val="10"/>
              <w:ind w:left="175" w:right="169"/>
              <w:jc w:val="left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590" w:type="dxa"/>
          </w:tcPr>
          <w:p>
            <w:pPr>
              <w:pStyle w:val="10"/>
              <w:ind w:left="230" w:right="223"/>
              <w:jc w:val="lef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2" w:hRule="atLeast"/>
        </w:trPr>
        <w:tc>
          <w:tcPr>
            <w:tcW w:w="483" w:type="dxa"/>
          </w:tcPr>
          <w:p>
            <w:pPr>
              <w:pStyle w:val="1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>
            <w:pPr>
              <w:pStyle w:val="10"/>
              <w:ind w:left="267" w:right="260"/>
              <w:jc w:val="left"/>
              <w:rPr>
                <w:sz w:val="24"/>
              </w:rPr>
            </w:pPr>
            <w:r>
              <w:rPr>
                <w:sz w:val="24"/>
              </w:rPr>
              <w:t>声屏障</w:t>
            </w:r>
          </w:p>
        </w:tc>
        <w:tc>
          <w:tcPr>
            <w:tcW w:w="3004" w:type="dxa"/>
          </w:tcPr>
          <w:p>
            <w:pPr>
              <w:pStyle w:val="10"/>
              <w:ind w:left="174" w:right="165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100mm 百叶型吸隔声屏障</w:t>
            </w:r>
            <w:r>
              <w:rPr>
                <w:rFonts w:hint="eastAsia"/>
                <w:sz w:val="24"/>
                <w:lang w:val="en-US" w:eastAsia="zh-CN"/>
              </w:rPr>
              <w:t>(内填充48kg超细离心玻璃棉+1.0mm阻尼隔音毡+玻纤毡）</w:t>
            </w:r>
          </w:p>
        </w:tc>
        <w:tc>
          <w:tcPr>
            <w:tcW w:w="1826" w:type="dxa"/>
          </w:tcPr>
          <w:p>
            <w:pPr>
              <w:pStyle w:val="10"/>
              <w:ind w:left="184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110.5</w:t>
            </w:r>
          </w:p>
        </w:tc>
        <w:tc>
          <w:tcPr>
            <w:tcW w:w="1005" w:type="dxa"/>
          </w:tcPr>
          <w:p>
            <w:pPr>
              <w:pStyle w:val="10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590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83" w:type="dxa"/>
          </w:tcPr>
          <w:p>
            <w:pPr>
              <w:pStyle w:val="10"/>
              <w:spacing w:before="99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7" w:type="dxa"/>
          </w:tcPr>
          <w:p>
            <w:pPr>
              <w:pStyle w:val="10"/>
              <w:spacing w:before="99"/>
              <w:ind w:left="267" w:right="260"/>
              <w:jc w:val="left"/>
              <w:rPr>
                <w:sz w:val="24"/>
              </w:rPr>
            </w:pPr>
            <w:r>
              <w:rPr>
                <w:sz w:val="24"/>
              </w:rPr>
              <w:t>辅助钢结构立柱</w:t>
            </w:r>
          </w:p>
        </w:tc>
        <w:tc>
          <w:tcPr>
            <w:tcW w:w="3004" w:type="dxa"/>
          </w:tcPr>
          <w:p>
            <w:pPr>
              <w:pStyle w:val="10"/>
              <w:spacing w:before="99"/>
              <w:ind w:left="174" w:right="167"/>
              <w:jc w:val="left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  <w:lang w:eastAsia="zh-CN"/>
              </w:rPr>
              <w:t>型钢</w:t>
            </w:r>
            <w:r>
              <w:rPr>
                <w:rFonts w:hint="eastAsia"/>
                <w:sz w:val="24"/>
                <w:lang w:val="en-US" w:eastAsia="zh-CN"/>
              </w:rPr>
              <w:t>100*100mm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法兰盘</w:t>
            </w:r>
            <w:r>
              <w:rPr>
                <w:rFonts w:hint="eastAsia"/>
                <w:sz w:val="24"/>
                <w:lang w:val="en-US" w:eastAsia="zh-CN"/>
              </w:rPr>
              <w:t>250*250*10mm,</w:t>
            </w:r>
            <w:r>
              <w:rPr>
                <w:sz w:val="24"/>
              </w:rPr>
              <w:t>两底两面防腐处理</w:t>
            </w:r>
          </w:p>
        </w:tc>
        <w:tc>
          <w:tcPr>
            <w:tcW w:w="1826" w:type="dxa"/>
          </w:tcPr>
          <w:p>
            <w:pPr>
              <w:pStyle w:val="10"/>
              <w:spacing w:before="99"/>
              <w:ind w:left="344" w:right="336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5" w:type="dxa"/>
          </w:tcPr>
          <w:p>
            <w:pPr>
              <w:pStyle w:val="10"/>
              <w:spacing w:before="99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1590" w:type="dxa"/>
          </w:tcPr>
          <w:p>
            <w:pPr>
              <w:pStyle w:val="10"/>
              <w:spacing w:before="99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立柱及支撑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83" w:type="dxa"/>
          </w:tcPr>
          <w:p>
            <w:pPr>
              <w:pStyle w:val="10"/>
              <w:spacing w:before="98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>
            <w:pPr>
              <w:pStyle w:val="10"/>
              <w:spacing w:before="98"/>
              <w:ind w:left="267" w:right="260"/>
              <w:jc w:val="left"/>
              <w:rPr>
                <w:sz w:val="24"/>
              </w:rPr>
            </w:pPr>
            <w:r>
              <w:rPr>
                <w:sz w:val="24"/>
              </w:rPr>
              <w:t>风管弯头</w:t>
            </w:r>
          </w:p>
        </w:tc>
        <w:tc>
          <w:tcPr>
            <w:tcW w:w="3004" w:type="dxa"/>
          </w:tcPr>
          <w:p>
            <w:pPr>
              <w:pStyle w:val="10"/>
              <w:spacing w:before="98"/>
              <w:ind w:left="174" w:right="165"/>
              <w:jc w:val="left"/>
              <w:rPr>
                <w:sz w:val="24"/>
              </w:rPr>
            </w:pPr>
            <w:r>
              <w:rPr>
                <w:sz w:val="24"/>
              </w:rPr>
              <w:t>PP 材质，现场加工</w:t>
            </w:r>
          </w:p>
        </w:tc>
        <w:tc>
          <w:tcPr>
            <w:tcW w:w="1826" w:type="dxa"/>
          </w:tcPr>
          <w:p>
            <w:pPr>
              <w:pStyle w:val="10"/>
              <w:spacing w:before="98"/>
              <w:ind w:left="344" w:right="336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5" w:type="dxa"/>
          </w:tcPr>
          <w:p>
            <w:pPr>
              <w:pStyle w:val="10"/>
              <w:spacing w:before="98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1590" w:type="dxa"/>
          </w:tcPr>
          <w:p>
            <w:pPr>
              <w:pStyle w:val="10"/>
              <w:spacing w:before="98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延伸后改向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83" w:type="dxa"/>
          </w:tcPr>
          <w:p>
            <w:pPr>
              <w:pStyle w:val="10"/>
              <w:spacing w:before="98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>
            <w:pPr>
              <w:pStyle w:val="10"/>
              <w:spacing w:before="98"/>
              <w:ind w:left="267" w:right="260"/>
              <w:jc w:val="left"/>
              <w:rPr>
                <w:sz w:val="24"/>
              </w:rPr>
            </w:pPr>
            <w:r>
              <w:rPr>
                <w:sz w:val="24"/>
              </w:rPr>
              <w:t>二次搬运</w:t>
            </w:r>
          </w:p>
        </w:tc>
        <w:tc>
          <w:tcPr>
            <w:tcW w:w="3004" w:type="dxa"/>
          </w:tcPr>
          <w:p>
            <w:pPr>
              <w:pStyle w:val="10"/>
              <w:spacing w:before="98"/>
              <w:ind w:left="174" w:right="167"/>
              <w:jc w:val="left"/>
              <w:rPr>
                <w:sz w:val="24"/>
              </w:rPr>
            </w:pPr>
            <w:r>
              <w:rPr>
                <w:sz w:val="24"/>
              </w:rPr>
              <w:t>货梯人工搬运</w:t>
            </w:r>
          </w:p>
        </w:tc>
        <w:tc>
          <w:tcPr>
            <w:tcW w:w="1826" w:type="dxa"/>
          </w:tcPr>
          <w:p>
            <w:pPr>
              <w:pStyle w:val="10"/>
              <w:spacing w:before="98"/>
              <w:ind w:left="8" w:firstLine="720" w:firstLineChars="3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>
            <w:pPr>
              <w:pStyle w:val="10"/>
              <w:spacing w:before="98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  <w:tc>
          <w:tcPr>
            <w:tcW w:w="1590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83" w:type="dxa"/>
          </w:tcPr>
          <w:p>
            <w:pPr>
              <w:pStyle w:val="1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7" w:type="dxa"/>
          </w:tcPr>
          <w:p>
            <w:pPr>
              <w:pStyle w:val="10"/>
              <w:ind w:left="267" w:right="260"/>
              <w:jc w:val="left"/>
              <w:rPr>
                <w:sz w:val="24"/>
              </w:rPr>
            </w:pPr>
            <w:r>
              <w:rPr>
                <w:sz w:val="24"/>
              </w:rPr>
              <w:t>柱脚防水处理</w:t>
            </w:r>
          </w:p>
        </w:tc>
        <w:tc>
          <w:tcPr>
            <w:tcW w:w="3004" w:type="dxa"/>
          </w:tcPr>
          <w:p>
            <w:pPr>
              <w:pStyle w:val="10"/>
              <w:ind w:left="174" w:right="167"/>
              <w:jc w:val="left"/>
              <w:rPr>
                <w:sz w:val="24"/>
              </w:rPr>
            </w:pPr>
            <w:r>
              <w:rPr>
                <w:sz w:val="24"/>
              </w:rPr>
              <w:t>落地支架水泥墩及防水处理</w:t>
            </w:r>
          </w:p>
        </w:tc>
        <w:tc>
          <w:tcPr>
            <w:tcW w:w="1826" w:type="dxa"/>
          </w:tcPr>
          <w:p>
            <w:pPr>
              <w:pStyle w:val="10"/>
              <w:ind w:left="344" w:right="336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5" w:type="dxa"/>
          </w:tcPr>
          <w:p>
            <w:pPr>
              <w:pStyle w:val="1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1590" w:type="dxa"/>
          </w:tcPr>
          <w:p>
            <w:pPr>
              <w:pStyle w:val="10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widowControl w:val="0"/>
        <w:numPr>
          <w:ilvl w:val="0"/>
          <w:numId w:val="0"/>
        </w:numPr>
        <w:autoSpaceDE w:val="0"/>
        <w:autoSpaceDN w:val="0"/>
        <w:spacing w:before="197" w:after="0" w:line="393" w:lineRule="auto"/>
        <w:ind w:right="233" w:rightChars="0"/>
        <w:jc w:val="both"/>
        <w:rPr>
          <w:rFonts w:hint="eastAsia"/>
          <w:lang w:val="en-US" w:eastAsia="zh-CN"/>
        </w:rPr>
        <w:sectPr>
          <w:pgSz w:w="11910" w:h="16840"/>
          <w:pgMar w:top="1520" w:right="1180" w:bottom="280" w:left="1200" w:header="720" w:footer="720" w:gutter="0"/>
          <w:cols w:space="720" w:num="1"/>
        </w:sectPr>
      </w:pPr>
    </w:p>
    <w:p>
      <w:pPr>
        <w:pStyle w:val="5"/>
        <w:spacing w:line="306" w:lineRule="exact"/>
        <w:ind w:left="696"/>
        <w:jc w:val="both"/>
      </w:pPr>
      <w:bookmarkStart w:id="14" w:name="4.2.部分风管改造"/>
      <w:bookmarkEnd w:id="14"/>
      <w:bookmarkStart w:id="15" w:name="4.2.部分风管改造"/>
      <w:bookmarkEnd w:id="15"/>
    </w:p>
    <w:p>
      <w:pPr>
        <w:pStyle w:val="5"/>
        <w:spacing w:before="106"/>
        <w:ind w:left="1214" w:right="1234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74930</wp:posOffset>
            </wp:positionV>
            <wp:extent cx="3758565" cy="3562350"/>
            <wp:effectExtent l="0" t="0" r="1333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0"/>
        </w:rPr>
        <w:t xml:space="preserve">图 </w:t>
      </w:r>
      <w:r>
        <w:rPr>
          <w:rFonts w:ascii="Calibri" w:eastAsia="Calibri"/>
        </w:rPr>
        <w:t>1</w:t>
      </w:r>
      <w:r>
        <w:rPr>
          <w:rFonts w:ascii="Calibri" w:eastAsia="Calibri"/>
          <w:spacing w:val="6"/>
        </w:rPr>
        <w:t xml:space="preserve">  </w:t>
      </w:r>
      <w:r>
        <w:t>实施方案立面示意图</w:t>
      </w:r>
    </w:p>
    <w:p>
      <w:pPr>
        <w:pStyle w:val="5"/>
        <w:spacing w:before="66"/>
        <w:ind w:left="215"/>
      </w:pPr>
      <w:r>
        <w:t>附图：</w:t>
      </w:r>
    </w:p>
    <w:p>
      <w:pPr>
        <w:spacing w:after="0"/>
        <w:jc w:val="center"/>
      </w:pPr>
    </w:p>
    <w:p>
      <w:pPr>
        <w:spacing w:after="0"/>
        <w:jc w:val="both"/>
      </w:pPr>
    </w:p>
    <w:p>
      <w:pPr>
        <w:pStyle w:val="5"/>
        <w:spacing w:before="89"/>
        <w:ind w:right="6658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1809115</wp:posOffset>
            </wp:positionH>
            <wp:positionV relativeFrom="paragraph">
              <wp:posOffset>205740</wp:posOffset>
            </wp:positionV>
            <wp:extent cx="4347210" cy="2313940"/>
            <wp:effectExtent l="0" t="0" r="15240" b="1016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89"/>
        <w:ind w:right="6658"/>
        <w:jc w:val="both"/>
        <w:rPr>
          <w:rFonts w:hint="default" w:eastAsia="宋体"/>
          <w:lang w:val="en-US" w:eastAsia="zh-CN"/>
        </w:rPr>
        <w:sectPr>
          <w:pgSz w:w="11910" w:h="16840"/>
          <w:pgMar w:top="420" w:right="280" w:bottom="1200" w:left="1100" w:header="720" w:footer="720" w:gutter="0"/>
          <w:cols w:space="720" w:num="1"/>
        </w:sectPr>
      </w:pPr>
      <w:r>
        <w:t>平面布置示意图（</w:t>
      </w:r>
      <w:r>
        <w:rPr>
          <w:rFonts w:hint="eastAsia"/>
          <w:lang w:eastAsia="zh-CN"/>
        </w:rPr>
        <w:t>西</w:t>
      </w:r>
      <w:r>
        <w:t>侧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spacing w:before="89"/>
        <w:ind w:right="6658" w:firstLine="240" w:firstLineChars="100"/>
        <w:jc w:val="both"/>
      </w:pPr>
    </w:p>
    <w:p>
      <w:pPr>
        <w:pStyle w:val="5"/>
        <w:rPr>
          <w:sz w:val="27"/>
        </w:rPr>
      </w:pPr>
    </w:p>
    <w:p>
      <w:pPr>
        <w:pStyle w:val="5"/>
        <w:rPr>
          <w:sz w:val="27"/>
        </w:rPr>
      </w:pPr>
    </w:p>
    <w:p>
      <w:pPr>
        <w:pStyle w:val="5"/>
        <w:ind w:left="2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5193030" cy="2548255"/>
            <wp:effectExtent l="0" t="0" r="7620" b="444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9"/>
        <w:ind w:right="6658"/>
        <w:jc w:val="both"/>
        <w:rPr>
          <w:rFonts w:hint="eastAsia"/>
          <w:lang w:eastAsia="zh-CN"/>
        </w:rPr>
      </w:pPr>
      <w:r>
        <w:t>平面布置示意图（东侧</w:t>
      </w:r>
      <w:r>
        <w:rPr>
          <w:rFonts w:hint="eastAsia"/>
          <w:lang w:eastAsia="zh-CN"/>
        </w:rPr>
        <w:t>）</w:t>
      </w:r>
    </w:p>
    <w:p>
      <w:pPr>
        <w:pStyle w:val="5"/>
        <w:spacing w:before="89"/>
        <w:ind w:right="6658"/>
        <w:jc w:val="both"/>
        <w:rPr>
          <w:rFonts w:hint="eastAsia"/>
          <w:lang w:eastAsia="zh-CN"/>
        </w:rPr>
      </w:pPr>
    </w:p>
    <w:p>
      <w:pPr>
        <w:pStyle w:val="5"/>
        <w:spacing w:before="89"/>
        <w:ind w:right="6658"/>
        <w:jc w:val="both"/>
        <w:rPr>
          <w:rFonts w:hint="eastAsia"/>
          <w:lang w:eastAsia="zh-CN"/>
        </w:rPr>
      </w:pPr>
    </w:p>
    <w:p>
      <w:pPr>
        <w:pStyle w:val="5"/>
        <w:spacing w:before="89"/>
        <w:ind w:right="6658"/>
        <w:jc w:val="both"/>
        <w:rPr>
          <w:rFonts w:hint="eastAsia"/>
          <w:lang w:eastAsia="zh-CN"/>
        </w:rPr>
      </w:pPr>
    </w:p>
    <w:p>
      <w:pPr>
        <w:pStyle w:val="5"/>
        <w:spacing w:before="196"/>
        <w:ind w:right="2928"/>
        <w:jc w:val="both"/>
        <w:rPr>
          <w:rFonts w:hint="eastAsia"/>
          <w:lang w:eastAsia="zh-CN"/>
        </w:rPr>
      </w:pPr>
      <w:bookmarkStart w:id="16" w:name="_GoBack"/>
      <w:bookmarkEnd w:id="16"/>
    </w:p>
    <w:sectPr>
      <w:pgSz w:w="11910" w:h="16840"/>
      <w:pgMar w:top="420" w:right="280" w:bottom="120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636" w:hanging="420"/>
        <w:jc w:val="left"/>
      </w:pPr>
      <w:rPr>
        <w:rFonts w:hint="default" w:ascii="Calibri" w:hAnsi="Calibri" w:eastAsia="Calibri" w:cs="Calibri"/>
        <w:spacing w:val="-1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1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8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7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6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8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36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1.%2."/>
      <w:lvlJc w:val="left"/>
      <w:pPr>
        <w:ind w:left="1056" w:hanging="442"/>
        <w:jc w:val="left"/>
      </w:pPr>
      <w:rPr>
        <w:rFonts w:hint="default" w:ascii="Arial" w:hAnsi="Arial" w:eastAsia="Arial" w:cs="Arial"/>
        <w:b/>
        <w:bCs/>
        <w:spacing w:val="-2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0" w:hanging="4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1" w:hanging="4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2" w:hanging="4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2" w:hanging="4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3" w:hanging="4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04" w:hanging="4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4" w:hanging="442"/>
      </w:pPr>
      <w:rPr>
        <w:rFonts w:hint="default"/>
        <w:lang w:val="zh-CN" w:eastAsia="zh-CN" w:bidi="zh-CN"/>
      </w:rPr>
    </w:lvl>
  </w:abstractNum>
  <w:abstractNum w:abstractNumId="2">
    <w:nsid w:val="0FB57E88"/>
    <w:multiLevelType w:val="singleLevel"/>
    <w:tmpl w:val="0FB57E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644E1"/>
    <w:rsid w:val="24710728"/>
    <w:rsid w:val="285E745E"/>
    <w:rsid w:val="334330D9"/>
    <w:rsid w:val="34A82E47"/>
    <w:rsid w:val="352A6A8E"/>
    <w:rsid w:val="35BE36E4"/>
    <w:rsid w:val="5180451E"/>
    <w:rsid w:val="69610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27" w:right="1134"/>
      <w:jc w:val="center"/>
      <w:outlineLvl w:val="1"/>
    </w:pPr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5"/>
      <w:ind w:left="636" w:hanging="421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056" w:hanging="442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6"/>
      <w:ind w:left="636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9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2021-06-29T03:06:00Z</dcterms:created>
  <dc:creator>Administrator</dc:creator>
  <cp:lastModifiedBy>bgs</cp:lastModifiedBy>
  <dcterms:modified xsi:type="dcterms:W3CDTF">2021-07-05T02:57:10Z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2021-06-29T00:00:00Z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B850F4C8A26840FF8C11ED16B58DEB87</vt:lpwstr>
  </property>
</Properties>
</file>